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B0E" w:rsidRDefault="00673B0E" w:rsidP="00C0147C">
      <w:pPr>
        <w:spacing w:after="60"/>
        <w:rPr>
          <w:rFonts w:ascii="Garamond" w:hAnsi="Garamond"/>
          <w:color w:val="1F4E79" w:themeColor="accent1" w:themeShade="80"/>
        </w:rPr>
      </w:pPr>
      <w:r>
        <w:rPr>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967740" cy="715645"/>
                <wp:effectExtent l="0" t="0" r="0" b="8255"/>
                <wp:wrapNone/>
                <wp:docPr id="262" name="Group 262"/>
                <wp:cNvGraphicFramePr/>
                <a:graphic xmlns:a="http://schemas.openxmlformats.org/drawingml/2006/main">
                  <a:graphicData uri="http://schemas.microsoft.com/office/word/2010/wordprocessingGroup">
                    <wpg:wgp>
                      <wpg:cNvGrpSpPr/>
                      <wpg:grpSpPr>
                        <a:xfrm>
                          <a:off x="0" y="0"/>
                          <a:ext cx="967740" cy="715645"/>
                          <a:chOff x="0" y="0"/>
                          <a:chExt cx="968235" cy="716074"/>
                        </a:xfrm>
                      </wpg:grpSpPr>
                      <wps:wsp>
                        <wps:cNvPr id="7" name="Shape 7"/>
                        <wps:cNvSpPr/>
                        <wps:spPr>
                          <a:xfrm>
                            <a:off x="113760" y="32675"/>
                            <a:ext cx="658787" cy="653876"/>
                          </a:xfrm>
                          <a:custGeom>
                            <a:avLst/>
                            <a:gdLst/>
                            <a:ahLst/>
                            <a:cxnLst/>
                            <a:rect l="0" t="0" r="0" b="0"/>
                            <a:pathLst>
                              <a:path w="658787" h="653876">
                                <a:moveTo>
                                  <a:pt x="358506" y="319"/>
                                </a:moveTo>
                                <a:cubicBezTo>
                                  <a:pt x="381295" y="0"/>
                                  <a:pt x="404498" y="1852"/>
                                  <a:pt x="427850" y="6049"/>
                                </a:cubicBezTo>
                                <a:cubicBezTo>
                                  <a:pt x="526758" y="23829"/>
                                  <a:pt x="608482" y="80141"/>
                                  <a:pt x="658787" y="155503"/>
                                </a:cubicBezTo>
                                <a:cubicBezTo>
                                  <a:pt x="612242" y="114165"/>
                                  <a:pt x="552412" y="84116"/>
                                  <a:pt x="484340" y="71861"/>
                                </a:cubicBezTo>
                                <a:cubicBezTo>
                                  <a:pt x="304292" y="39501"/>
                                  <a:pt x="134861" y="143870"/>
                                  <a:pt x="105905" y="304956"/>
                                </a:cubicBezTo>
                                <a:cubicBezTo>
                                  <a:pt x="77305" y="464036"/>
                                  <a:pt x="196456" y="618888"/>
                                  <a:pt x="372847" y="653876"/>
                                </a:cubicBezTo>
                                <a:cubicBezTo>
                                  <a:pt x="352920" y="653660"/>
                                  <a:pt x="332727" y="651895"/>
                                  <a:pt x="312407" y="648237"/>
                                </a:cubicBezTo>
                                <a:cubicBezTo>
                                  <a:pt x="125603" y="614659"/>
                                  <a:pt x="0" y="443679"/>
                                  <a:pt x="31877" y="266348"/>
                                </a:cubicBezTo>
                                <a:cubicBezTo>
                                  <a:pt x="59769" y="111163"/>
                                  <a:pt x="198985" y="2551"/>
                                  <a:pt x="358506" y="319"/>
                                </a:cubicBezTo>
                                <a:close/>
                              </a:path>
                            </a:pathLst>
                          </a:custGeom>
                          <a:ln w="0" cap="flat">
                            <a:miter lim="127000"/>
                          </a:ln>
                        </wps:spPr>
                        <wps:style>
                          <a:lnRef idx="0">
                            <a:srgbClr val="000000">
                              <a:alpha val="0"/>
                            </a:srgbClr>
                          </a:lnRef>
                          <a:fillRef idx="1">
                            <a:srgbClr val="993027"/>
                          </a:fillRef>
                          <a:effectRef idx="0">
                            <a:scrgbClr r="0" g="0" b="0"/>
                          </a:effectRef>
                          <a:fontRef idx="none"/>
                        </wps:style>
                        <wps:bodyPr/>
                      </wps:wsp>
                      <wps:wsp>
                        <wps:cNvPr id="8" name="Shape 8"/>
                        <wps:cNvSpPr/>
                        <wps:spPr>
                          <a:xfrm>
                            <a:off x="0" y="0"/>
                            <a:ext cx="968235" cy="716074"/>
                          </a:xfrm>
                          <a:custGeom>
                            <a:avLst/>
                            <a:gdLst/>
                            <a:ahLst/>
                            <a:cxnLst/>
                            <a:rect l="0" t="0" r="0" b="0"/>
                            <a:pathLst>
                              <a:path w="968235" h="716074">
                                <a:moveTo>
                                  <a:pt x="865641" y="32"/>
                                </a:moveTo>
                                <a:cubicBezTo>
                                  <a:pt x="890823" y="0"/>
                                  <a:pt x="909341" y="6397"/>
                                  <a:pt x="919518" y="19913"/>
                                </a:cubicBezTo>
                                <a:cubicBezTo>
                                  <a:pt x="968235" y="84632"/>
                                  <a:pt x="807301" y="287985"/>
                                  <a:pt x="560057" y="474091"/>
                                </a:cubicBezTo>
                                <a:cubicBezTo>
                                  <a:pt x="374625" y="613689"/>
                                  <a:pt x="193307" y="703939"/>
                                  <a:pt x="93685" y="713040"/>
                                </a:cubicBezTo>
                                <a:cubicBezTo>
                                  <a:pt x="60477" y="716074"/>
                                  <a:pt x="36347" y="710092"/>
                                  <a:pt x="24168" y="693915"/>
                                </a:cubicBezTo>
                                <a:cubicBezTo>
                                  <a:pt x="0" y="661809"/>
                                  <a:pt x="27445" y="595592"/>
                                  <a:pt x="91389" y="514311"/>
                                </a:cubicBezTo>
                                <a:cubicBezTo>
                                  <a:pt x="51499" y="572223"/>
                                  <a:pt x="36601" y="618566"/>
                                  <a:pt x="54940" y="642937"/>
                                </a:cubicBezTo>
                                <a:cubicBezTo>
                                  <a:pt x="98501" y="700811"/>
                                  <a:pt x="313093" y="612800"/>
                                  <a:pt x="534213" y="446329"/>
                                </a:cubicBezTo>
                                <a:cubicBezTo>
                                  <a:pt x="755345" y="279882"/>
                                  <a:pt x="899274" y="98018"/>
                                  <a:pt x="855713" y="40144"/>
                                </a:cubicBezTo>
                                <a:cubicBezTo>
                                  <a:pt x="834720" y="12242"/>
                                  <a:pt x="773989" y="18249"/>
                                  <a:pt x="691960" y="50571"/>
                                </a:cubicBezTo>
                                <a:cubicBezTo>
                                  <a:pt x="763191" y="17995"/>
                                  <a:pt x="823671" y="84"/>
                                  <a:pt x="865641" y="32"/>
                                </a:cubicBezTo>
                                <a:close/>
                              </a:path>
                            </a:pathLst>
                          </a:custGeom>
                          <a:ln w="0" cap="flat">
                            <a:miter lim="127000"/>
                          </a:ln>
                        </wps:spPr>
                        <wps:style>
                          <a:lnRef idx="0">
                            <a:srgbClr val="000000">
                              <a:alpha val="0"/>
                            </a:srgbClr>
                          </a:lnRef>
                          <a:fillRef idx="1">
                            <a:srgbClr val="352C4F"/>
                          </a:fillRef>
                          <a:effectRef idx="0">
                            <a:scrgbClr r="0" g="0" b="0"/>
                          </a:effectRef>
                          <a:fontRef idx="none"/>
                        </wps:style>
                        <wps:bodyPr/>
                      </wps:wsp>
                    </wpg:wgp>
                  </a:graphicData>
                </a:graphic>
              </wp:anchor>
            </w:drawing>
          </mc:Choice>
          <mc:Fallback>
            <w:pict>
              <v:group w14:anchorId="046411C4" id="Group 262" o:spid="_x0000_s1026" style="position:absolute;margin-left:0;margin-top:0;width:76.2pt;height:56.35pt;z-index:-251658240" coordsize="9682,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">
                <v:shape id="Shape 7" o:spid="_x0000_s1027" style="position:absolute;left:1137;top:326;width:6588;height:6539;visibility:visible;mso-wrap-style:square;v-text-anchor:top" coordsize="658787,65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mfcIA&#10;AADaAAAADwAAAGRycy9kb3ducmV2LnhtbESPUWvCQBCE3wv9D8cW+lYviqYSPaUUBSn60OgPWHNr&#10;EszthdxW47/vCYKPw8x8w8yXvWvUhbpQezYwHCSgiAtvay4NHPbrjymoIMgWG89k4EYBlovXlzlm&#10;1l/5ly65lCpCOGRooBJpM61DUZHDMPAtcfROvnMoUXalth1eI9w1epQkqXZYc1yosKXviopz/ucM&#10;jNOj3Ymcf05+dRuvdbLdTNLCmPe3/msGSqiXZ/jR3lgDn3C/Em+AX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qZ9wgAAANoAAAAPAAAAAAAAAAAAAAAAAJgCAABkcnMvZG93&#10;bnJldi54bWxQSwUGAAAAAAQABAD1AAAAhwMAAAAA&#10;" path="m358506,319c381295,,404498,1852,427850,6049v98908,17780,180632,74092,230937,149454c612242,114165,552412,84116,484340,71861,304292,39501,134861,143870,105905,304956,77305,464036,196456,618888,372847,653876v-19927,-216,-40120,-1981,-60440,-5639c125603,614659,,443679,31877,266348,59769,111163,198985,2551,358506,319xe" fillcolor="#993027" stroked="f" strokeweight="0">
                  <v:stroke miterlimit="83231f" joinstyle="miter"/>
                  <v:path arrowok="t" textboxrect="0,0,658787,653876"/>
                </v:shape>
                <v:shape id="Shape 8" o:spid="_x0000_s1028" style="position:absolute;width:9682;height:7160;visibility:visible;mso-wrap-style:square;v-text-anchor:top" coordsize="968235,716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9Kr78A&#10;AADaAAAADwAAAGRycy9kb3ducmV2LnhtbERPPWvDMBDdC/kP4gLZajmFmuJGCSGQ0qFD6nbIeLYu&#10;toh1MpZqOf8+GgIdH+97s5ttLyYavXGsYJ3lIIgbpw23Cn5/js9vIHxA1tg7JgU38rDbLp42WGoX&#10;+ZumKrQihbAvUUEXwlBK6ZuOLPrMDcSJu7jRYkhwbKUeMaZw28uXPC+kRcOpocOBDh011+rPKviK&#10;/DGbaQpU1K/xdDNnH+uzUqvlvH8HEWgO/+KH+1MrSFvTlXQD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f0qvvwAAANoAAAAPAAAAAAAAAAAAAAAAAJgCAABkcnMvZG93bnJl&#10;di54bWxQSwUGAAAAAAQABAD1AAAAhAMAAAAA&#10;" path="m865641,32c890823,,909341,6397,919518,19913,968235,84632,807301,287985,560057,474091,374625,613689,193307,703939,93685,713040,60477,716074,36347,710092,24168,693915,,661809,27445,595592,91389,514311,51499,572223,36601,618566,54940,642937,98501,700811,313093,612800,534213,446329,755345,279882,899274,98018,855713,40144,834720,12242,773989,18249,691960,50571,763191,17995,823671,84,865641,32xe" fillcolor="#352c4f" stroked="f" strokeweight="0">
                  <v:stroke miterlimit="83231f" joinstyle="miter"/>
                  <v:path arrowok="t" textboxrect="0,0,968235,716074"/>
                </v:shape>
              </v:group>
            </w:pict>
          </mc:Fallback>
        </mc:AlternateContent>
      </w:r>
      <w:r>
        <w:rPr>
          <w:rFonts w:ascii="Garamond" w:hAnsi="Garamond"/>
          <w:color w:val="1F4E79" w:themeColor="accent1" w:themeShade="80"/>
          <w:sz w:val="72"/>
          <w:szCs w:val="72"/>
        </w:rPr>
        <w:t xml:space="preserve">        </w:t>
      </w:r>
    </w:p>
    <w:p w:rsidR="001D37D8" w:rsidRPr="003603A4" w:rsidRDefault="00673B0E" w:rsidP="00C0147C">
      <w:pPr>
        <w:spacing w:after="60"/>
        <w:jc w:val="center"/>
        <w:rPr>
          <w:rFonts w:ascii="Garamond" w:hAnsi="Garamond"/>
          <w:color w:val="0D0694"/>
          <w:sz w:val="72"/>
          <w:szCs w:val="72"/>
          <w14:textFill>
            <w14:solidFill>
              <w14:srgbClr w14:val="0D0694">
                <w14:lumMod w14:val="50000"/>
              </w14:srgbClr>
            </w14:solidFill>
          </w14:textFill>
        </w:rPr>
      </w:pPr>
      <w:r w:rsidRPr="003603A4">
        <w:rPr>
          <w:rFonts w:ascii="Garamond" w:hAnsi="Garamond"/>
          <w:color w:val="0D0694"/>
          <w:sz w:val="72"/>
          <w:szCs w:val="72"/>
        </w:rPr>
        <w:t>Standard Transfer Company</w:t>
      </w:r>
    </w:p>
    <w:p w:rsidR="00673B0E" w:rsidRPr="003603A4" w:rsidRDefault="00673B0E" w:rsidP="00C0147C">
      <w:pPr>
        <w:spacing w:after="60"/>
        <w:jc w:val="center"/>
        <w:rPr>
          <w:rFonts w:ascii="Garamond" w:hAnsi="Garamond"/>
          <w:color w:val="0D0694"/>
          <w14:textFill>
            <w14:solidFill>
              <w14:srgbClr w14:val="0D0694">
                <w14:lumMod w14:val="50000"/>
              </w14:srgbClr>
            </w14:solidFill>
          </w14:textFill>
        </w:rPr>
      </w:pPr>
      <w:r w:rsidRPr="003603A4">
        <w:rPr>
          <w:rFonts w:ascii="Garamond" w:hAnsi="Garamond"/>
          <w:color w:val="0D0694"/>
          <w14:textFill>
            <w14:solidFill>
              <w14:srgbClr w14:val="0D0694">
                <w14:lumMod w14:val="50000"/>
              </w14:srgbClr>
            </w14:solidFill>
          </w14:textFill>
        </w:rPr>
        <w:t>440 East 400 South, Suite 200, Salt Lake City, UT 84111</w:t>
      </w:r>
      <w:r w:rsidR="0030005C">
        <w:rPr>
          <w:rFonts w:ascii="Garamond" w:hAnsi="Garamond"/>
          <w:color w:val="0D0694"/>
          <w14:textFill>
            <w14:solidFill>
              <w14:srgbClr w14:val="0D0694">
                <w14:lumMod w14:val="50000"/>
              </w14:srgbClr>
            </w14:solidFill>
          </w14:textFill>
        </w:rPr>
        <w:t xml:space="preserve"> </w:t>
      </w:r>
      <w:r w:rsidRPr="003603A4">
        <w:rPr>
          <w:rFonts w:ascii="Garamond" w:hAnsi="Garamond"/>
          <w:color w:val="0D0694"/>
          <w14:textFill>
            <w14:solidFill>
              <w14:srgbClr w14:val="0D0694">
                <w14:lumMod w14:val="50000"/>
              </w14:srgbClr>
            </w14:solidFill>
          </w14:textFill>
        </w:rPr>
        <w:t>Phone: (801) 571-8844 Fax: (801) 328-4058</w:t>
      </w:r>
    </w:p>
    <w:p w:rsidR="00673B0E" w:rsidRDefault="00673B0E" w:rsidP="00C0147C">
      <w:pPr>
        <w:spacing w:after="60"/>
        <w:rPr>
          <w:rFonts w:ascii="Garamond" w:hAnsi="Garamond"/>
          <w:color w:val="1F4E79" w:themeColor="accent1" w:themeShade="80"/>
        </w:rPr>
      </w:pPr>
      <w:bookmarkStart w:id="0" w:name="_GoBack"/>
      <w:bookmarkEnd w:id="0"/>
    </w:p>
    <w:p w:rsidR="00C0147C" w:rsidRPr="009A798D" w:rsidRDefault="00C0147C" w:rsidP="00C0147C">
      <w:pPr>
        <w:spacing w:after="60"/>
        <w:jc w:val="center"/>
        <w:rPr>
          <w:rFonts w:ascii="Garamond" w:hAnsi="Garamond"/>
          <w:b/>
          <w:sz w:val="32"/>
          <w:szCs w:val="32"/>
        </w:rPr>
      </w:pPr>
      <w:r w:rsidRPr="009A798D">
        <w:rPr>
          <w:rFonts w:ascii="Garamond" w:hAnsi="Garamond"/>
          <w:b/>
          <w:sz w:val="32"/>
          <w:szCs w:val="32"/>
        </w:rPr>
        <w:t>STOCKHOLDER 144 QUESTIONNAIRE</w:t>
      </w:r>
    </w:p>
    <w:tbl>
      <w:tblPr>
        <w:tblStyle w:val="LightShading"/>
        <w:tblW w:w="0" w:type="auto"/>
        <w:tblInd w:w="630" w:type="dxa"/>
        <w:tblLook w:val="04A0" w:firstRow="1" w:lastRow="0" w:firstColumn="1" w:lastColumn="0" w:noHBand="0" w:noVBand="1"/>
      </w:tblPr>
      <w:tblGrid>
        <w:gridCol w:w="9360"/>
      </w:tblGrid>
      <w:tr w:rsidR="009A798D" w:rsidRPr="00365796" w:rsidTr="00782821">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360" w:type="dxa"/>
          </w:tcPr>
          <w:p w:rsidR="009A798D" w:rsidRPr="00365796" w:rsidRDefault="009A798D" w:rsidP="00782821">
            <w:pPr>
              <w:rPr>
                <w:rFonts w:ascii="Garamond" w:hAnsi="Garamond" w:cs="Arabic Typesetting"/>
                <w:sz w:val="24"/>
                <w:szCs w:val="24"/>
              </w:rPr>
            </w:pPr>
            <w:r w:rsidRPr="00365796">
              <w:rPr>
                <w:rFonts w:ascii="Garamond" w:hAnsi="Garamond" w:cs="Arabic Typesetting"/>
                <w:sz w:val="24"/>
                <w:szCs w:val="24"/>
              </w:rPr>
              <w:t>Name of stockholder:</w:t>
            </w:r>
          </w:p>
        </w:tc>
      </w:tr>
      <w:tr w:rsidR="009A798D" w:rsidRPr="00365796" w:rsidTr="007828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360" w:type="dxa"/>
            <w:shd w:val="clear" w:color="auto" w:fill="FFFFFF" w:themeFill="background1"/>
          </w:tcPr>
          <w:p w:rsidR="009A798D" w:rsidRPr="00365796" w:rsidRDefault="009A798D" w:rsidP="00782821">
            <w:pPr>
              <w:rPr>
                <w:rFonts w:ascii="Garamond" w:hAnsi="Garamond" w:cs="Arabic Typesetting"/>
                <w:sz w:val="24"/>
                <w:szCs w:val="24"/>
              </w:rPr>
            </w:pPr>
            <w:r w:rsidRPr="00365796">
              <w:rPr>
                <w:rFonts w:ascii="Garamond" w:hAnsi="Garamond" w:cs="Arabic Typesetting"/>
                <w:sz w:val="24"/>
                <w:szCs w:val="24"/>
              </w:rPr>
              <w:t xml:space="preserve">Address:                                                           </w:t>
            </w:r>
          </w:p>
        </w:tc>
      </w:tr>
      <w:tr w:rsidR="009A798D" w:rsidRPr="00365796" w:rsidTr="00782821">
        <w:trPr>
          <w:trHeight w:val="360"/>
        </w:trPr>
        <w:tc>
          <w:tcPr>
            <w:cnfStyle w:val="001000000000" w:firstRow="0" w:lastRow="0" w:firstColumn="1" w:lastColumn="0" w:oddVBand="0" w:evenVBand="0" w:oddHBand="0" w:evenHBand="0" w:firstRowFirstColumn="0" w:firstRowLastColumn="0" w:lastRowFirstColumn="0" w:lastRowLastColumn="0"/>
            <w:tcW w:w="9360" w:type="dxa"/>
          </w:tcPr>
          <w:p w:rsidR="009A798D" w:rsidRPr="00365796" w:rsidRDefault="009A798D" w:rsidP="00782821">
            <w:pPr>
              <w:rPr>
                <w:rFonts w:ascii="Garamond" w:hAnsi="Garamond" w:cs="Arabic Typesetting"/>
                <w:sz w:val="24"/>
                <w:szCs w:val="24"/>
              </w:rPr>
            </w:pPr>
            <w:r w:rsidRPr="00365796">
              <w:rPr>
                <w:rFonts w:ascii="Garamond" w:hAnsi="Garamond" w:cs="Arabic Typesetting"/>
                <w:sz w:val="24"/>
                <w:szCs w:val="24"/>
              </w:rPr>
              <w:t>City:                                               State:                                    Zip:</w:t>
            </w:r>
          </w:p>
        </w:tc>
      </w:tr>
      <w:tr w:rsidR="009A798D" w:rsidRPr="00365796" w:rsidTr="0078282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shd w:val="clear" w:color="auto" w:fill="FFFFFF" w:themeFill="background1"/>
          </w:tcPr>
          <w:p w:rsidR="009A798D" w:rsidRPr="00365796" w:rsidRDefault="009A798D" w:rsidP="00782821">
            <w:pPr>
              <w:rPr>
                <w:rFonts w:ascii="Garamond" w:hAnsi="Garamond" w:cs="Arabic Typesetting"/>
                <w:sz w:val="24"/>
                <w:szCs w:val="24"/>
              </w:rPr>
            </w:pPr>
            <w:r w:rsidRPr="00365796">
              <w:rPr>
                <w:rFonts w:ascii="Garamond" w:hAnsi="Garamond" w:cs="Arabic Typesetting"/>
                <w:sz w:val="24"/>
                <w:szCs w:val="24"/>
              </w:rPr>
              <w:t>Telephone Number:</w:t>
            </w:r>
          </w:p>
        </w:tc>
      </w:tr>
      <w:tr w:rsidR="009A798D" w:rsidRPr="00365796" w:rsidTr="00782821">
        <w:trPr>
          <w:trHeight w:val="360"/>
        </w:trPr>
        <w:tc>
          <w:tcPr>
            <w:cnfStyle w:val="001000000000" w:firstRow="0" w:lastRow="0" w:firstColumn="1" w:lastColumn="0" w:oddVBand="0" w:evenVBand="0" w:oddHBand="0" w:evenHBand="0" w:firstRowFirstColumn="0" w:firstRowLastColumn="0" w:lastRowFirstColumn="0" w:lastRowLastColumn="0"/>
            <w:tcW w:w="9360" w:type="dxa"/>
          </w:tcPr>
          <w:p w:rsidR="009A798D" w:rsidRPr="00365796" w:rsidRDefault="009A798D" w:rsidP="00782821">
            <w:pPr>
              <w:rPr>
                <w:rFonts w:ascii="Garamond" w:hAnsi="Garamond" w:cs="Arabic Typesetting"/>
                <w:sz w:val="24"/>
                <w:szCs w:val="24"/>
              </w:rPr>
            </w:pPr>
            <w:r w:rsidRPr="00365796">
              <w:rPr>
                <w:rFonts w:ascii="Garamond" w:hAnsi="Garamond" w:cs="Arabic Typesetting"/>
                <w:sz w:val="24"/>
                <w:szCs w:val="24"/>
              </w:rPr>
              <w:t>Social Security No.:</w:t>
            </w:r>
          </w:p>
        </w:tc>
      </w:tr>
      <w:tr w:rsidR="009A798D" w:rsidRPr="00365796" w:rsidTr="0078282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shd w:val="clear" w:color="auto" w:fill="FFFFFF" w:themeFill="background1"/>
          </w:tcPr>
          <w:p w:rsidR="009A798D" w:rsidRPr="00365796" w:rsidRDefault="009A798D" w:rsidP="00782821">
            <w:pPr>
              <w:rPr>
                <w:rFonts w:ascii="Garamond" w:hAnsi="Garamond" w:cs="Arabic Typesetting"/>
                <w:sz w:val="24"/>
                <w:szCs w:val="24"/>
              </w:rPr>
            </w:pPr>
            <w:r w:rsidRPr="00365796">
              <w:rPr>
                <w:rFonts w:ascii="Garamond" w:hAnsi="Garamond" w:cs="Arabic Typesetting"/>
                <w:sz w:val="24"/>
                <w:szCs w:val="24"/>
              </w:rPr>
              <w:t xml:space="preserve">Issuer: </w:t>
            </w:r>
          </w:p>
        </w:tc>
      </w:tr>
      <w:tr w:rsidR="009A798D" w:rsidRPr="00365796" w:rsidTr="00782821">
        <w:trPr>
          <w:trHeight w:val="270"/>
        </w:trPr>
        <w:tc>
          <w:tcPr>
            <w:cnfStyle w:val="001000000000" w:firstRow="0" w:lastRow="0" w:firstColumn="1" w:lastColumn="0" w:oddVBand="0" w:evenVBand="0" w:oddHBand="0" w:evenHBand="0" w:firstRowFirstColumn="0" w:firstRowLastColumn="0" w:lastRowFirstColumn="0" w:lastRowLastColumn="0"/>
            <w:tcW w:w="9360" w:type="dxa"/>
          </w:tcPr>
          <w:p w:rsidR="009A798D" w:rsidRPr="00365796" w:rsidRDefault="009A798D" w:rsidP="00782821">
            <w:pPr>
              <w:rPr>
                <w:rFonts w:ascii="Garamond" w:hAnsi="Garamond" w:cs="Arabic Typesetting"/>
                <w:sz w:val="24"/>
                <w:szCs w:val="24"/>
              </w:rPr>
            </w:pPr>
            <w:r w:rsidRPr="00365796">
              <w:rPr>
                <w:rFonts w:ascii="Garamond" w:hAnsi="Garamond" w:cs="Arabic Typesetting"/>
                <w:sz w:val="24"/>
                <w:szCs w:val="24"/>
              </w:rPr>
              <w:t xml:space="preserve">Class of Issuer Securities: </w:t>
            </w:r>
          </w:p>
        </w:tc>
      </w:tr>
    </w:tbl>
    <w:p w:rsidR="00C0147C" w:rsidRDefault="00C0147C" w:rsidP="00C0147C">
      <w:pPr>
        <w:spacing w:after="60"/>
        <w:rPr>
          <w:rFonts w:ascii="Garamond" w:hAnsi="Garamond" w:cs="Arabic Typesetting"/>
          <w:sz w:val="28"/>
          <w:szCs w:val="28"/>
        </w:rPr>
      </w:pPr>
    </w:p>
    <w:p w:rsidR="00C0147C" w:rsidRPr="00F751CE" w:rsidRDefault="006452DC" w:rsidP="00C0147C">
      <w:pPr>
        <w:spacing w:after="60"/>
        <w:ind w:left="540" w:right="900"/>
        <w:jc w:val="both"/>
        <w:rPr>
          <w:rFonts w:ascii="Garamond" w:hAnsi="Garamond" w:cs="Arabic Typesetting"/>
        </w:rPr>
      </w:pPr>
      <w:r w:rsidRPr="00F751CE">
        <w:rPr>
          <w:rFonts w:ascii="Garamond" w:hAnsi="Garamond" w:cs="Arabic Typesetting"/>
        </w:rPr>
        <w:t>Standard Transfer Company has</w:t>
      </w:r>
      <w:r w:rsidR="00C0147C" w:rsidRPr="00F751CE">
        <w:rPr>
          <w:rFonts w:ascii="Garamond" w:hAnsi="Garamond" w:cs="Arabic Typesetting"/>
        </w:rPr>
        <w:t xml:space="preserve"> received the following guidance from legal counsel in relation to Rule 144, which recites the obligations and liabilities that you as a stockholder have in removing the legend from your certificate</w:t>
      </w:r>
      <w:r w:rsidRPr="00F751CE">
        <w:rPr>
          <w:rFonts w:ascii="Garamond" w:hAnsi="Garamond" w:cs="Arabic Typesetting"/>
        </w:rPr>
        <w:t>(s)</w:t>
      </w:r>
      <w:r w:rsidR="00C0147C" w:rsidRPr="00F751CE">
        <w:rPr>
          <w:rFonts w:ascii="Garamond" w:hAnsi="Garamond" w:cs="Arabic Typesetting"/>
        </w:rPr>
        <w:t>.</w:t>
      </w:r>
    </w:p>
    <w:p w:rsidR="00C0147C" w:rsidRPr="00F751CE" w:rsidRDefault="00C0147C" w:rsidP="00C0147C">
      <w:pPr>
        <w:pStyle w:val="ListParagraph"/>
        <w:numPr>
          <w:ilvl w:val="0"/>
          <w:numId w:val="1"/>
        </w:numPr>
        <w:spacing w:after="60"/>
        <w:ind w:left="900" w:right="900"/>
        <w:jc w:val="both"/>
        <w:rPr>
          <w:rFonts w:ascii="Garamond" w:hAnsi="Garamond" w:cs="Arabic Typesetting"/>
        </w:rPr>
      </w:pPr>
      <w:r w:rsidRPr="00F751CE">
        <w:rPr>
          <w:rFonts w:ascii="Garamond" w:hAnsi="Garamond" w:cs="Arabic Typesetting"/>
        </w:rPr>
        <w:t>Rule 144 creates a safe harbor for a person when he or she resells securities purchased from issuers in transactions claimed to be exempt from registration under the Secu</w:t>
      </w:r>
      <w:r w:rsidR="006452DC" w:rsidRPr="00F751CE">
        <w:rPr>
          <w:rFonts w:ascii="Garamond" w:hAnsi="Garamond" w:cs="Arabic Typesetting"/>
        </w:rPr>
        <w:t xml:space="preserve">rities Act of 1933 (the “Act”). </w:t>
      </w:r>
      <w:r w:rsidRPr="00F751CE">
        <w:rPr>
          <w:rFonts w:ascii="Garamond" w:hAnsi="Garamond" w:cs="Arabic Typesetting"/>
        </w:rPr>
        <w:t xml:space="preserve">Rule 144 provides that when such re-sales are made in strict compliance with the requirements of Rule 144, the seller will be presumed not to be an </w:t>
      </w:r>
      <w:r w:rsidR="006452DC" w:rsidRPr="00F751CE">
        <w:rPr>
          <w:rFonts w:ascii="Garamond" w:hAnsi="Garamond" w:cs="Arabic Typesetting"/>
        </w:rPr>
        <w:t xml:space="preserve">“issuer, underwriter or broker”. </w:t>
      </w:r>
      <w:r w:rsidRPr="00F751CE">
        <w:rPr>
          <w:rFonts w:ascii="Garamond" w:hAnsi="Garamond" w:cs="Arabic Typesetting"/>
        </w:rPr>
        <w:t xml:space="preserve">“underwriter” of the shares (“underwriter” is defined under Section 2(a) (11) of the Act), and will have available the exemption from registration provided by Section 4(1) of the Act for transactions by persons other than </w:t>
      </w:r>
    </w:p>
    <w:p w:rsidR="00C0147C" w:rsidRPr="00F751CE" w:rsidRDefault="00C0147C" w:rsidP="00C0147C">
      <w:pPr>
        <w:pStyle w:val="ListParagraph"/>
        <w:numPr>
          <w:ilvl w:val="0"/>
          <w:numId w:val="1"/>
        </w:numPr>
        <w:spacing w:after="60"/>
        <w:ind w:left="900" w:right="900"/>
        <w:jc w:val="both"/>
        <w:rPr>
          <w:rFonts w:ascii="Garamond" w:hAnsi="Garamond" w:cs="Arabic Typesetting"/>
        </w:rPr>
      </w:pPr>
      <w:r w:rsidRPr="00F751CE">
        <w:rPr>
          <w:rFonts w:ascii="Garamond" w:hAnsi="Garamond" w:cs="Arabic Typesetting"/>
        </w:rPr>
        <w:t>Rule 144 is unavailable for re-sale of securities initially issued by a shell company unless:</w:t>
      </w:r>
    </w:p>
    <w:p w:rsidR="00C0147C" w:rsidRPr="00F751CE" w:rsidRDefault="00F30520" w:rsidP="00C0147C">
      <w:pPr>
        <w:pStyle w:val="ListParagraph"/>
        <w:numPr>
          <w:ilvl w:val="1"/>
          <w:numId w:val="1"/>
        </w:numPr>
        <w:spacing w:after="60"/>
        <w:ind w:right="900"/>
        <w:jc w:val="both"/>
        <w:rPr>
          <w:rFonts w:ascii="Garamond" w:hAnsi="Garamond" w:cs="Arabic Typesetting"/>
        </w:rPr>
      </w:pPr>
      <w:r w:rsidRPr="00F751CE">
        <w:rPr>
          <w:rFonts w:ascii="Garamond" w:hAnsi="Garamond" w:cs="Arabic Typesetting"/>
        </w:rPr>
        <w:t xml:space="preserve">The issuer is a reporting company </w:t>
      </w:r>
    </w:p>
    <w:p w:rsidR="00F30520" w:rsidRPr="00F751CE" w:rsidRDefault="00F30520" w:rsidP="00C0147C">
      <w:pPr>
        <w:pStyle w:val="ListParagraph"/>
        <w:numPr>
          <w:ilvl w:val="1"/>
          <w:numId w:val="1"/>
        </w:numPr>
        <w:spacing w:after="60"/>
        <w:ind w:right="900"/>
        <w:jc w:val="both"/>
        <w:rPr>
          <w:rFonts w:ascii="Garamond" w:hAnsi="Garamond" w:cs="Arabic Typesetting"/>
        </w:rPr>
      </w:pPr>
      <w:r w:rsidRPr="00F751CE">
        <w:rPr>
          <w:rFonts w:ascii="Garamond" w:hAnsi="Garamond" w:cs="Arabic Typesetting"/>
        </w:rPr>
        <w:t xml:space="preserve">The issuer has filed all required reports for the preceding twelve (12) months period; and </w:t>
      </w:r>
    </w:p>
    <w:p w:rsidR="00F30520" w:rsidRPr="00F751CE" w:rsidRDefault="00F30520" w:rsidP="00C0147C">
      <w:pPr>
        <w:pStyle w:val="ListParagraph"/>
        <w:numPr>
          <w:ilvl w:val="1"/>
          <w:numId w:val="1"/>
        </w:numPr>
        <w:spacing w:after="60"/>
        <w:ind w:right="900"/>
        <w:jc w:val="both"/>
        <w:rPr>
          <w:rFonts w:ascii="Garamond" w:hAnsi="Garamond" w:cs="Arabic Typesetting"/>
        </w:rPr>
      </w:pPr>
      <w:r w:rsidRPr="00F751CE">
        <w:rPr>
          <w:rFonts w:ascii="Garamond" w:hAnsi="Garamond" w:cs="Arabic Typesetting"/>
        </w:rPr>
        <w:t>At least one year has elapsed from the time the issuer filed current Form 10 type information reporting that the issuer is not a shell company</w:t>
      </w:r>
    </w:p>
    <w:p w:rsidR="00C0147C" w:rsidRPr="00F751CE" w:rsidRDefault="00C0147C" w:rsidP="00C0147C">
      <w:pPr>
        <w:pStyle w:val="ListParagraph"/>
        <w:numPr>
          <w:ilvl w:val="0"/>
          <w:numId w:val="1"/>
        </w:numPr>
        <w:spacing w:after="60"/>
        <w:ind w:left="900" w:right="900"/>
        <w:jc w:val="both"/>
        <w:rPr>
          <w:rFonts w:ascii="Garamond" w:hAnsi="Garamond" w:cs="Arabic Typesetting"/>
        </w:rPr>
      </w:pPr>
      <w:r w:rsidRPr="00F751CE">
        <w:rPr>
          <w:rFonts w:ascii="Garamond" w:hAnsi="Garamond" w:cs="Arabic Typesetting"/>
        </w:rPr>
        <w:t>Any person who claims a transactional exemption for a sale or re-sale of unregistered securities has the burden of demonstrating the availability of the claimed exemption.</w:t>
      </w:r>
    </w:p>
    <w:p w:rsidR="00C0147C" w:rsidRPr="00F751CE" w:rsidRDefault="00C0147C" w:rsidP="00C0147C">
      <w:pPr>
        <w:pStyle w:val="ListParagraph"/>
        <w:numPr>
          <w:ilvl w:val="0"/>
          <w:numId w:val="1"/>
        </w:numPr>
        <w:spacing w:after="60"/>
        <w:ind w:left="900" w:right="900"/>
        <w:jc w:val="both"/>
        <w:rPr>
          <w:rFonts w:ascii="Garamond" w:hAnsi="Garamond" w:cs="Arabic Typesetting"/>
        </w:rPr>
      </w:pPr>
      <w:r w:rsidRPr="00F751CE">
        <w:rPr>
          <w:rFonts w:ascii="Garamond" w:hAnsi="Garamond" w:cs="Arabic Typesetting"/>
        </w:rPr>
        <w:t>Technical compliance with Rule 144 may be deemed non-compliance if the transaction is part of a plan or scheme to avoid registration requirements of the Act. For example:</w:t>
      </w:r>
    </w:p>
    <w:p w:rsidR="00F30520" w:rsidRPr="00F751CE" w:rsidRDefault="00F30520" w:rsidP="00F30520">
      <w:pPr>
        <w:pStyle w:val="ListParagraph"/>
        <w:numPr>
          <w:ilvl w:val="1"/>
          <w:numId w:val="1"/>
        </w:numPr>
        <w:spacing w:after="60"/>
        <w:ind w:right="900"/>
        <w:jc w:val="both"/>
        <w:rPr>
          <w:rFonts w:ascii="Garamond" w:hAnsi="Garamond" w:cs="Arabic Typesetting"/>
        </w:rPr>
      </w:pPr>
      <w:r w:rsidRPr="00F751CE">
        <w:rPr>
          <w:rFonts w:ascii="Garamond" w:hAnsi="Garamond" w:cs="Arabic Typesetting"/>
        </w:rPr>
        <w:t xml:space="preserve">If a person or group of persons relies on Rule 144 to affect the sale of substantial numbers of restricted securities into a relatively thin existing market of the issuer’s securities, then the exemption would be disallowed and the sellers could be civilly or criminally liable for violation of the registration requirements of the Act. </w:t>
      </w:r>
    </w:p>
    <w:p w:rsidR="00F30520" w:rsidRPr="00F751CE" w:rsidRDefault="00F30520" w:rsidP="00F30520">
      <w:pPr>
        <w:pStyle w:val="ListParagraph"/>
        <w:numPr>
          <w:ilvl w:val="1"/>
          <w:numId w:val="1"/>
        </w:numPr>
        <w:spacing w:after="60"/>
        <w:ind w:right="900"/>
        <w:jc w:val="both"/>
        <w:rPr>
          <w:rFonts w:ascii="Garamond" w:hAnsi="Garamond" w:cs="Arabic Typesetting"/>
        </w:rPr>
      </w:pPr>
      <w:r w:rsidRPr="00F751CE">
        <w:rPr>
          <w:rFonts w:ascii="Garamond" w:hAnsi="Garamond" w:cs="Arabic Typesetting"/>
        </w:rPr>
        <w:t>A group of stockholders, none whom own individually or control more than 10% of the outstanding shares of the issuer are approached by the other persons to sell a total number of common shares in excess of 10% of the common shares outstanding to a single individual or group who will, as a result of their multiple purchases, hold a substantial percentage of the issuer’s outstanding shares in unrestricted form.  These types of transactions would be deemed “underwriting” under the Act, and are not exempt from registration.</w:t>
      </w:r>
    </w:p>
    <w:p w:rsidR="00C0147C" w:rsidRDefault="00F751CE" w:rsidP="00F751CE">
      <w:pPr>
        <w:tabs>
          <w:tab w:val="left" w:pos="3195"/>
        </w:tabs>
        <w:spacing w:after="60"/>
        <w:rPr>
          <w:rFonts w:ascii="Garamond" w:hAnsi="Garamond"/>
          <w:color w:val="1F4E79" w:themeColor="accent1" w:themeShade="80"/>
        </w:rPr>
      </w:pPr>
      <w:r>
        <w:rPr>
          <w:rFonts w:ascii="Garamond" w:hAnsi="Garamond"/>
          <w:color w:val="1F4E79" w:themeColor="accent1" w:themeShade="80"/>
        </w:rPr>
        <w:tab/>
      </w:r>
    </w:p>
    <w:p w:rsidR="0080121C" w:rsidRDefault="0080121C" w:rsidP="00F751CE">
      <w:pPr>
        <w:tabs>
          <w:tab w:val="left" w:pos="3195"/>
        </w:tabs>
        <w:spacing w:after="60"/>
        <w:rPr>
          <w:rFonts w:ascii="Garamond" w:hAnsi="Garamond"/>
          <w:color w:val="1F4E79" w:themeColor="accent1" w:themeShade="80"/>
        </w:rPr>
      </w:pPr>
    </w:p>
    <w:p w:rsidR="00673B0E" w:rsidRPr="00673B0E" w:rsidRDefault="00673B0E" w:rsidP="00C0147C">
      <w:pPr>
        <w:spacing w:after="60"/>
        <w:rPr>
          <w:rFonts w:ascii="Garamond" w:hAnsi="Garamond"/>
          <w:color w:val="1F4E79" w:themeColor="accent1" w:themeShade="80"/>
        </w:rPr>
      </w:pPr>
      <w:r>
        <w:rPr>
          <w:rFonts w:ascii="Garamond" w:hAnsi="Garamond"/>
          <w:color w:val="1F4E79" w:themeColor="accent1" w:themeShade="80"/>
        </w:rPr>
        <w:tab/>
        <w:t xml:space="preserve">         </w:t>
      </w:r>
    </w:p>
    <w:p w:rsidR="00673B0E" w:rsidRPr="00673B0E" w:rsidRDefault="00673B0E" w:rsidP="00C0147C">
      <w:pPr>
        <w:spacing w:after="60"/>
        <w:jc w:val="center"/>
        <w:rPr>
          <w:rFonts w:ascii="Garamond" w:hAnsi="Garamond"/>
          <w:color w:val="1F4E79" w:themeColor="accent1" w:themeShade="80"/>
        </w:rPr>
      </w:pPr>
    </w:p>
    <w:p w:rsidR="00673B0E" w:rsidRDefault="00F751CE" w:rsidP="00F751CE">
      <w:pPr>
        <w:spacing w:after="60"/>
        <w:jc w:val="center"/>
        <w:rPr>
          <w:rFonts w:ascii="Garamond" w:hAnsi="Garamond" w:cs="Arabic Typesetting"/>
          <w:sz w:val="32"/>
          <w:szCs w:val="32"/>
        </w:rPr>
      </w:pPr>
      <w:r w:rsidRPr="00F751CE">
        <w:rPr>
          <w:rFonts w:ascii="Garamond" w:hAnsi="Garamond" w:cs="Arabic Typesetting"/>
          <w:sz w:val="32"/>
          <w:szCs w:val="32"/>
        </w:rPr>
        <w:t>I HAVE READ THE ABOVE AND SUBMIT THE FOLLOWING ANSWERS</w:t>
      </w:r>
    </w:p>
    <w:p w:rsidR="00F751CE" w:rsidRDefault="00F751CE" w:rsidP="00F751CE">
      <w:pPr>
        <w:spacing w:after="60"/>
        <w:jc w:val="center"/>
        <w:rPr>
          <w:rFonts w:ascii="Garamond" w:hAnsi="Garamond" w:cs="Arabic Typesetting"/>
          <w:sz w:val="32"/>
          <w:szCs w:val="32"/>
        </w:rPr>
      </w:pPr>
    </w:p>
    <w:p w:rsidR="00F751CE" w:rsidRPr="00355501" w:rsidRDefault="00F751CE" w:rsidP="00F751CE">
      <w:pPr>
        <w:pStyle w:val="ListParagraph"/>
        <w:numPr>
          <w:ilvl w:val="0"/>
          <w:numId w:val="4"/>
        </w:numPr>
        <w:spacing w:after="0"/>
        <w:rPr>
          <w:rFonts w:ascii="Garamond" w:hAnsi="Garamond" w:cs="Arabic Typesetting"/>
          <w:sz w:val="28"/>
          <w:szCs w:val="28"/>
        </w:rPr>
      </w:pPr>
      <w:r w:rsidRPr="00355501">
        <w:rPr>
          <w:rFonts w:ascii="Garamond" w:hAnsi="Garamond" w:cs="Arabic Typesetting"/>
          <w:sz w:val="28"/>
          <w:szCs w:val="28"/>
        </w:rPr>
        <w:t>How many shares of the issuer are registered in your name? ___________</w:t>
      </w:r>
    </w:p>
    <w:p w:rsidR="00F751CE" w:rsidRPr="00355501" w:rsidRDefault="00F751CE" w:rsidP="00F751CE">
      <w:pPr>
        <w:pStyle w:val="ListParagraph"/>
        <w:numPr>
          <w:ilvl w:val="0"/>
          <w:numId w:val="4"/>
        </w:numPr>
        <w:spacing w:after="0"/>
        <w:rPr>
          <w:rFonts w:ascii="Garamond" w:hAnsi="Garamond" w:cs="Arabic Typesetting"/>
          <w:sz w:val="28"/>
          <w:szCs w:val="28"/>
        </w:rPr>
      </w:pPr>
      <w:r w:rsidRPr="00355501">
        <w:rPr>
          <w:rFonts w:ascii="Garamond" w:hAnsi="Garamond" w:cs="Arabic Typesetting"/>
          <w:sz w:val="28"/>
          <w:szCs w:val="28"/>
        </w:rPr>
        <w:t>Do you own or control any additional standing in the names of other people? __________</w:t>
      </w:r>
    </w:p>
    <w:p w:rsidR="00F751CE" w:rsidRPr="00355501" w:rsidRDefault="00F751CE" w:rsidP="00F751CE">
      <w:pPr>
        <w:pStyle w:val="ListParagraph"/>
        <w:numPr>
          <w:ilvl w:val="0"/>
          <w:numId w:val="5"/>
        </w:numPr>
        <w:spacing w:after="0"/>
        <w:rPr>
          <w:rFonts w:ascii="Garamond" w:hAnsi="Garamond" w:cs="Arabic Typesetting"/>
          <w:sz w:val="28"/>
          <w:szCs w:val="28"/>
        </w:rPr>
      </w:pPr>
      <w:r w:rsidRPr="00355501">
        <w:rPr>
          <w:rFonts w:ascii="Garamond" w:hAnsi="Garamond" w:cs="Arabic Typesetting"/>
          <w:sz w:val="28"/>
          <w:szCs w:val="28"/>
        </w:rPr>
        <w:t>If yes, how many? _________________</w:t>
      </w:r>
    </w:p>
    <w:p w:rsidR="00F751CE" w:rsidRPr="00355501" w:rsidRDefault="00F751CE" w:rsidP="00F751CE">
      <w:pPr>
        <w:pStyle w:val="ListParagraph"/>
        <w:numPr>
          <w:ilvl w:val="0"/>
          <w:numId w:val="5"/>
        </w:numPr>
        <w:spacing w:after="0"/>
        <w:rPr>
          <w:rFonts w:ascii="Garamond" w:hAnsi="Garamond" w:cs="Arabic Typesetting"/>
          <w:sz w:val="28"/>
          <w:szCs w:val="28"/>
        </w:rPr>
      </w:pPr>
      <w:r w:rsidRPr="00355501">
        <w:rPr>
          <w:rFonts w:ascii="Garamond" w:hAnsi="Garamond" w:cs="Arabic Typesetting"/>
          <w:sz w:val="28"/>
          <w:szCs w:val="28"/>
        </w:rPr>
        <w:t>In what names? ___________________</w:t>
      </w:r>
    </w:p>
    <w:p w:rsidR="00F751CE" w:rsidRPr="00355501" w:rsidRDefault="00F751CE" w:rsidP="00F751CE">
      <w:pPr>
        <w:pStyle w:val="ListParagraph"/>
        <w:numPr>
          <w:ilvl w:val="0"/>
          <w:numId w:val="4"/>
        </w:numPr>
        <w:spacing w:after="0"/>
        <w:rPr>
          <w:rFonts w:ascii="Garamond" w:hAnsi="Garamond" w:cs="Arabic Typesetting"/>
          <w:sz w:val="28"/>
          <w:szCs w:val="28"/>
        </w:rPr>
      </w:pPr>
      <w:r w:rsidRPr="00355501">
        <w:rPr>
          <w:rFonts w:ascii="Garamond" w:hAnsi="Garamond" w:cs="Arabic Typesetting"/>
          <w:sz w:val="28"/>
          <w:szCs w:val="28"/>
        </w:rPr>
        <w:t>Do you have a present intention to sell all or any part of your shares? __________</w:t>
      </w:r>
    </w:p>
    <w:p w:rsidR="00F751CE" w:rsidRPr="00355501" w:rsidRDefault="00F751CE" w:rsidP="00F751CE">
      <w:pPr>
        <w:pStyle w:val="ListParagraph"/>
        <w:numPr>
          <w:ilvl w:val="0"/>
          <w:numId w:val="6"/>
        </w:numPr>
        <w:spacing w:after="0"/>
        <w:rPr>
          <w:rFonts w:ascii="Garamond" w:hAnsi="Garamond" w:cs="Arabic Typesetting"/>
          <w:sz w:val="28"/>
          <w:szCs w:val="28"/>
        </w:rPr>
      </w:pPr>
      <w:r w:rsidRPr="00355501">
        <w:rPr>
          <w:rFonts w:ascii="Garamond" w:hAnsi="Garamond" w:cs="Arabic Typesetting"/>
          <w:sz w:val="28"/>
          <w:szCs w:val="28"/>
        </w:rPr>
        <w:t>If yes, how many? __________________</w:t>
      </w:r>
    </w:p>
    <w:p w:rsidR="00F751CE" w:rsidRPr="00355501" w:rsidRDefault="00F751CE" w:rsidP="00F751CE">
      <w:pPr>
        <w:pStyle w:val="ListParagraph"/>
        <w:numPr>
          <w:ilvl w:val="0"/>
          <w:numId w:val="4"/>
        </w:numPr>
        <w:tabs>
          <w:tab w:val="left" w:pos="4680"/>
        </w:tabs>
        <w:spacing w:after="0"/>
        <w:rPr>
          <w:rFonts w:ascii="Garamond" w:hAnsi="Garamond" w:cs="Arabic Typesetting"/>
          <w:sz w:val="28"/>
          <w:szCs w:val="28"/>
        </w:rPr>
      </w:pPr>
      <w:r w:rsidRPr="00355501">
        <w:rPr>
          <w:rFonts w:ascii="Garamond" w:hAnsi="Garamond" w:cs="Arabic Typesetting"/>
          <w:sz w:val="28"/>
          <w:szCs w:val="28"/>
        </w:rPr>
        <w:t>Have your determined to sell your shares as a result of conversations with any other stockholders or issuer? _____________</w:t>
      </w:r>
    </w:p>
    <w:p w:rsidR="00F751CE" w:rsidRPr="00355501" w:rsidRDefault="00F751CE" w:rsidP="00F751CE">
      <w:pPr>
        <w:pStyle w:val="ListParagraph"/>
        <w:numPr>
          <w:ilvl w:val="0"/>
          <w:numId w:val="4"/>
        </w:numPr>
        <w:spacing w:after="0"/>
        <w:rPr>
          <w:rFonts w:ascii="Garamond" w:hAnsi="Garamond" w:cs="Arabic Typesetting"/>
          <w:sz w:val="28"/>
          <w:szCs w:val="28"/>
        </w:rPr>
      </w:pPr>
      <w:r w:rsidRPr="00355501">
        <w:rPr>
          <w:rFonts w:ascii="Garamond" w:hAnsi="Garamond" w:cs="Arabic Typesetting"/>
          <w:sz w:val="28"/>
          <w:szCs w:val="28"/>
        </w:rPr>
        <w:t>Have you and any other stockholder(s) agreed to sell your shares together? _____________</w:t>
      </w:r>
    </w:p>
    <w:p w:rsidR="00F751CE" w:rsidRPr="00355501" w:rsidRDefault="00F751CE" w:rsidP="00F751CE">
      <w:pPr>
        <w:pStyle w:val="ListParagraph"/>
        <w:numPr>
          <w:ilvl w:val="0"/>
          <w:numId w:val="4"/>
        </w:numPr>
        <w:spacing w:after="0"/>
        <w:rPr>
          <w:rFonts w:ascii="Garamond" w:hAnsi="Garamond" w:cs="Arabic Typesetting"/>
          <w:sz w:val="28"/>
          <w:szCs w:val="28"/>
        </w:rPr>
      </w:pPr>
      <w:r w:rsidRPr="00355501">
        <w:rPr>
          <w:rFonts w:ascii="Garamond" w:hAnsi="Garamond" w:cs="Arabic Typesetting"/>
          <w:sz w:val="28"/>
          <w:szCs w:val="28"/>
        </w:rPr>
        <w:t>Are you presently an officer or director of the issuer, or are you related to or reside with an officer or director? _____________________</w:t>
      </w:r>
    </w:p>
    <w:p w:rsidR="00F751CE" w:rsidRPr="00355501" w:rsidRDefault="00F751CE" w:rsidP="00F751CE">
      <w:pPr>
        <w:pStyle w:val="ListParagraph"/>
        <w:numPr>
          <w:ilvl w:val="0"/>
          <w:numId w:val="7"/>
        </w:numPr>
        <w:spacing w:after="0"/>
        <w:rPr>
          <w:rFonts w:ascii="Garamond" w:hAnsi="Garamond" w:cs="Arabic Typesetting"/>
          <w:sz w:val="28"/>
          <w:szCs w:val="28"/>
        </w:rPr>
      </w:pPr>
      <w:r w:rsidRPr="00355501">
        <w:rPr>
          <w:rFonts w:ascii="Garamond" w:hAnsi="Garamond" w:cs="Arabic Typesetting"/>
          <w:sz w:val="28"/>
          <w:szCs w:val="28"/>
        </w:rPr>
        <w:t>Are you an affiliate of the issuer, i.e. (a person that directly, or indirectly through one or more intermediaries, controls, or is controlled by, or is under common control with the issuer)? _____________</w:t>
      </w:r>
    </w:p>
    <w:p w:rsidR="00F751CE" w:rsidRPr="00355501" w:rsidRDefault="00F751CE" w:rsidP="00F751CE">
      <w:pPr>
        <w:pStyle w:val="ListParagraph"/>
        <w:numPr>
          <w:ilvl w:val="0"/>
          <w:numId w:val="7"/>
        </w:numPr>
        <w:spacing w:after="0"/>
        <w:rPr>
          <w:rFonts w:ascii="Garamond" w:hAnsi="Garamond" w:cs="Arabic Typesetting"/>
          <w:sz w:val="28"/>
          <w:szCs w:val="28"/>
        </w:rPr>
      </w:pPr>
      <w:r w:rsidRPr="00355501">
        <w:rPr>
          <w:rFonts w:ascii="Garamond" w:hAnsi="Garamond" w:cs="Arabic Typesetting"/>
          <w:sz w:val="28"/>
          <w:szCs w:val="28"/>
        </w:rPr>
        <w:t>Have you been an affiliate of the issuer during the previous three months? _________</w:t>
      </w:r>
    </w:p>
    <w:p w:rsidR="00F751CE" w:rsidRPr="00355501" w:rsidRDefault="00F751CE" w:rsidP="00F751CE">
      <w:pPr>
        <w:pStyle w:val="ListParagraph"/>
        <w:numPr>
          <w:ilvl w:val="0"/>
          <w:numId w:val="7"/>
        </w:numPr>
        <w:spacing w:after="0"/>
        <w:rPr>
          <w:rFonts w:ascii="Garamond" w:hAnsi="Garamond" w:cs="Arabic Typesetting"/>
          <w:sz w:val="28"/>
          <w:szCs w:val="28"/>
        </w:rPr>
      </w:pPr>
      <w:r w:rsidRPr="00355501">
        <w:rPr>
          <w:rFonts w:ascii="Garamond" w:hAnsi="Garamond" w:cs="Arabic Typesetting"/>
          <w:sz w:val="28"/>
          <w:szCs w:val="28"/>
        </w:rPr>
        <w:t>If you answered yes to 6. b) please specify in what capacity: _________________</w:t>
      </w:r>
    </w:p>
    <w:p w:rsidR="00F751CE" w:rsidRPr="00355501" w:rsidRDefault="00F751CE" w:rsidP="00F751CE">
      <w:pPr>
        <w:pStyle w:val="ListParagraph"/>
        <w:numPr>
          <w:ilvl w:val="0"/>
          <w:numId w:val="4"/>
        </w:numPr>
        <w:spacing w:after="0"/>
        <w:rPr>
          <w:rFonts w:ascii="Garamond" w:hAnsi="Garamond" w:cs="Arabic Typesetting"/>
          <w:sz w:val="28"/>
          <w:szCs w:val="28"/>
        </w:rPr>
      </w:pPr>
      <w:r w:rsidRPr="00355501">
        <w:rPr>
          <w:rFonts w:ascii="Garamond" w:hAnsi="Garamond" w:cs="Arabic Typesetting"/>
          <w:sz w:val="28"/>
          <w:szCs w:val="28"/>
        </w:rPr>
        <w:t>When did you acquire (fully pay for) the shares you desire to have transferred free of restrictive legend? _________________</w:t>
      </w:r>
    </w:p>
    <w:p w:rsidR="00F751CE" w:rsidRPr="00355501" w:rsidRDefault="00F751CE" w:rsidP="00F751CE">
      <w:pPr>
        <w:pStyle w:val="ListParagraph"/>
        <w:numPr>
          <w:ilvl w:val="0"/>
          <w:numId w:val="4"/>
        </w:numPr>
        <w:spacing w:after="0"/>
        <w:rPr>
          <w:rFonts w:ascii="Garamond" w:hAnsi="Garamond" w:cs="Arabic Typesetting"/>
          <w:sz w:val="28"/>
          <w:szCs w:val="28"/>
        </w:rPr>
      </w:pPr>
      <w:r w:rsidRPr="00355501">
        <w:rPr>
          <w:rFonts w:ascii="Garamond" w:hAnsi="Garamond" w:cs="Arabic Typesetting"/>
          <w:sz w:val="28"/>
          <w:szCs w:val="28"/>
        </w:rPr>
        <w:t>How long have you owned the securities (excluding any period for which the securities were pledged):</w:t>
      </w:r>
    </w:p>
    <w:p w:rsidR="00F751CE" w:rsidRPr="00355501" w:rsidRDefault="00F751CE" w:rsidP="00F751CE">
      <w:pPr>
        <w:pStyle w:val="ListParagraph"/>
        <w:numPr>
          <w:ilvl w:val="0"/>
          <w:numId w:val="8"/>
        </w:numPr>
        <w:spacing w:after="0"/>
        <w:rPr>
          <w:rFonts w:ascii="Garamond" w:hAnsi="Garamond" w:cs="Arabic Typesetting"/>
          <w:sz w:val="28"/>
          <w:szCs w:val="28"/>
        </w:rPr>
      </w:pPr>
      <w:r w:rsidRPr="00355501">
        <w:rPr>
          <w:rFonts w:ascii="Garamond" w:hAnsi="Garamond" w:cs="Arabic Typesetting"/>
          <w:sz w:val="28"/>
          <w:szCs w:val="28"/>
        </w:rPr>
        <w:t>_____ Over six months</w:t>
      </w:r>
    </w:p>
    <w:p w:rsidR="00F751CE" w:rsidRPr="00355501" w:rsidRDefault="00F751CE" w:rsidP="00F751CE">
      <w:pPr>
        <w:pStyle w:val="ListParagraph"/>
        <w:numPr>
          <w:ilvl w:val="0"/>
          <w:numId w:val="8"/>
        </w:numPr>
        <w:spacing w:after="0"/>
        <w:rPr>
          <w:rFonts w:ascii="Garamond" w:hAnsi="Garamond" w:cs="Arabic Typesetting"/>
          <w:sz w:val="28"/>
          <w:szCs w:val="28"/>
        </w:rPr>
      </w:pPr>
      <w:r w:rsidRPr="00355501">
        <w:rPr>
          <w:rFonts w:ascii="Garamond" w:hAnsi="Garamond" w:cs="Arabic Typesetting"/>
          <w:sz w:val="28"/>
          <w:szCs w:val="28"/>
        </w:rPr>
        <w:t>_____ Between 6 months and one year</w:t>
      </w:r>
    </w:p>
    <w:p w:rsidR="00F751CE" w:rsidRPr="00355501" w:rsidRDefault="00F751CE" w:rsidP="00F751CE">
      <w:pPr>
        <w:pStyle w:val="ListParagraph"/>
        <w:numPr>
          <w:ilvl w:val="0"/>
          <w:numId w:val="8"/>
        </w:numPr>
        <w:spacing w:after="0"/>
        <w:rPr>
          <w:rFonts w:ascii="Garamond" w:hAnsi="Garamond" w:cs="Arabic Typesetting"/>
          <w:sz w:val="28"/>
          <w:szCs w:val="28"/>
        </w:rPr>
      </w:pPr>
      <w:r w:rsidRPr="00355501">
        <w:rPr>
          <w:rFonts w:ascii="Garamond" w:hAnsi="Garamond" w:cs="Arabic Typesetting"/>
          <w:sz w:val="28"/>
          <w:szCs w:val="28"/>
        </w:rPr>
        <w:t>_____ Over one year</w:t>
      </w:r>
    </w:p>
    <w:p w:rsidR="00F751CE" w:rsidRDefault="00F751CE" w:rsidP="00F751CE">
      <w:pPr>
        <w:spacing w:after="60"/>
        <w:rPr>
          <w:rFonts w:ascii="Garamond" w:hAnsi="Garamond"/>
          <w:sz w:val="32"/>
          <w:szCs w:val="32"/>
        </w:rPr>
      </w:pPr>
    </w:p>
    <w:p w:rsidR="00C4052D" w:rsidRDefault="00C4052D" w:rsidP="00F751CE">
      <w:pPr>
        <w:spacing w:after="60"/>
        <w:rPr>
          <w:rFonts w:ascii="Garamond" w:hAnsi="Garamond" w:cs="Arabic Typesetting"/>
          <w:sz w:val="32"/>
          <w:szCs w:val="32"/>
        </w:rPr>
      </w:pPr>
    </w:p>
    <w:p w:rsidR="00C4052D" w:rsidRPr="00C4052D" w:rsidRDefault="00C4052D" w:rsidP="00C4052D">
      <w:pPr>
        <w:rPr>
          <w:rFonts w:ascii="Garamond" w:hAnsi="Garamond" w:cs="Arabic Typesetting"/>
          <w:sz w:val="28"/>
          <w:szCs w:val="28"/>
        </w:rPr>
      </w:pPr>
      <w:r w:rsidRPr="00C4052D">
        <w:rPr>
          <w:rFonts w:ascii="Garamond" w:hAnsi="Garamond" w:cs="Arabic Typesetting"/>
          <w:sz w:val="28"/>
          <w:szCs w:val="28"/>
        </w:rPr>
        <w:t>Shareholder signature: ______________________    Date: __________________</w:t>
      </w:r>
    </w:p>
    <w:sectPr w:rsidR="00C4052D" w:rsidRPr="00C4052D" w:rsidSect="00673B0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7A1" w:rsidRDefault="004B07A1" w:rsidP="00F751CE">
      <w:pPr>
        <w:spacing w:after="0" w:line="240" w:lineRule="auto"/>
      </w:pPr>
      <w:r>
        <w:separator/>
      </w:r>
    </w:p>
  </w:endnote>
  <w:endnote w:type="continuationSeparator" w:id="0">
    <w:p w:rsidR="004B07A1" w:rsidRDefault="004B07A1" w:rsidP="00F7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7A1" w:rsidRDefault="004B07A1" w:rsidP="00F751CE">
      <w:pPr>
        <w:spacing w:after="0" w:line="240" w:lineRule="auto"/>
      </w:pPr>
      <w:r>
        <w:separator/>
      </w:r>
    </w:p>
  </w:footnote>
  <w:footnote w:type="continuationSeparator" w:id="0">
    <w:p w:rsidR="004B07A1" w:rsidRDefault="004B07A1" w:rsidP="00F75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65EC1"/>
    <w:multiLevelType w:val="hybridMultilevel"/>
    <w:tmpl w:val="9C90F1E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5A515F1"/>
    <w:multiLevelType w:val="hybridMultilevel"/>
    <w:tmpl w:val="10527B78"/>
    <w:lvl w:ilvl="0" w:tplc="04090017">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1ABA029F"/>
    <w:multiLevelType w:val="hybridMultilevel"/>
    <w:tmpl w:val="3686296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2756AEA"/>
    <w:multiLevelType w:val="hybridMultilevel"/>
    <w:tmpl w:val="3686296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A3E721F"/>
    <w:multiLevelType w:val="hybridMultilevel"/>
    <w:tmpl w:val="8C9CE0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FCC6520"/>
    <w:multiLevelType w:val="hybridMultilevel"/>
    <w:tmpl w:val="A1F49B2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0140F8F"/>
    <w:multiLevelType w:val="hybridMultilevel"/>
    <w:tmpl w:val="41D26ED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7C6E4B2A"/>
    <w:multiLevelType w:val="hybridMultilevel"/>
    <w:tmpl w:val="10527B78"/>
    <w:lvl w:ilvl="0" w:tplc="04090017">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num w:numId="1">
    <w:abstractNumId w:val="6"/>
  </w:num>
  <w:num w:numId="2">
    <w:abstractNumId w:val="7"/>
  </w:num>
  <w:num w:numId="3">
    <w:abstractNumId w:val="1"/>
  </w:num>
  <w:num w:numId="4">
    <w:abstractNumId w:val="4"/>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0E"/>
    <w:rsid w:val="001D37D8"/>
    <w:rsid w:val="0030005C"/>
    <w:rsid w:val="003603A4"/>
    <w:rsid w:val="004B07A1"/>
    <w:rsid w:val="006452DC"/>
    <w:rsid w:val="00673B0E"/>
    <w:rsid w:val="0080121C"/>
    <w:rsid w:val="009A798D"/>
    <w:rsid w:val="00B34AAB"/>
    <w:rsid w:val="00C0147C"/>
    <w:rsid w:val="00C4052D"/>
    <w:rsid w:val="00F30520"/>
    <w:rsid w:val="00F7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E3CEC-B5EB-46C3-BD65-E77F147B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47C"/>
    <w:pPr>
      <w:spacing w:after="200" w:line="276" w:lineRule="auto"/>
      <w:ind w:left="720"/>
      <w:contextualSpacing/>
    </w:pPr>
  </w:style>
  <w:style w:type="table" w:styleId="LightShading">
    <w:name w:val="Light Shading"/>
    <w:basedOn w:val="TableNormal"/>
    <w:uiPriority w:val="60"/>
    <w:rsid w:val="00C014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F75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1CE"/>
  </w:style>
  <w:style w:type="paragraph" w:styleId="Footer">
    <w:name w:val="footer"/>
    <w:basedOn w:val="Normal"/>
    <w:link w:val="FooterChar"/>
    <w:uiPriority w:val="99"/>
    <w:unhideWhenUsed/>
    <w:rsid w:val="00F75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 Transfer</dc:creator>
  <cp:keywords/>
  <dc:description/>
  <cp:lastModifiedBy>Standard Transfer</cp:lastModifiedBy>
  <cp:revision>5</cp:revision>
  <dcterms:created xsi:type="dcterms:W3CDTF">2017-12-07T18:07:00Z</dcterms:created>
  <dcterms:modified xsi:type="dcterms:W3CDTF">2018-01-12T17:10:00Z</dcterms:modified>
</cp:coreProperties>
</file>